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  <w:u w:val="single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>201</w:t>
      </w: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上 </w:t>
      </w:r>
      <w:r>
        <w:rPr>
          <w:rFonts w:hint="eastAsia" w:ascii="宋体" w:hAnsi="宋体"/>
          <w:b/>
          <w:sz w:val="44"/>
          <w:szCs w:val="44"/>
        </w:rPr>
        <w:t>半年研究生学位论文答辩信息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培养单位：</w:t>
      </w:r>
      <w:r>
        <w:rPr>
          <w:rFonts w:hint="eastAsia"/>
          <w:sz w:val="24"/>
          <w:lang w:eastAsia="zh-CN"/>
        </w:rPr>
        <w:t>马克思主义学院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答辩时间：</w:t>
      </w: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日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时间段：</w:t>
      </w: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答辩地点：</w:t>
      </w: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答辩秘书：</w:t>
      </w:r>
      <w:r>
        <w:rPr>
          <w:rFonts w:hint="eastAsia"/>
          <w:sz w:val="24"/>
          <w:lang w:eastAsia="zh-CN"/>
        </w:rPr>
        <w:t>赵伟力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95"/>
        <w:gridCol w:w="945"/>
        <w:gridCol w:w="1005"/>
        <w:gridCol w:w="5865"/>
        <w:gridCol w:w="25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申请学位级别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5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</w:t>
            </w:r>
          </w:p>
        </w:tc>
        <w:tc>
          <w:tcPr>
            <w:tcW w:w="25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注：1.答辩主席由教授或具有专业技术职务的成员担任，博士学位论文答辩委员会主席应由外单位的同行专家担任；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2.答辩委员会（除学位申请者导师外）人数原则上应为奇数；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3.学位申请者导师可以作为委员，但不能为所指导的研究生投决票表；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4.答辩秘书应为在岗教师，不得由学生担任。</w:t>
      </w:r>
    </w:p>
    <w:p>
      <w:pPr>
        <w:ind w:firstLine="420" w:firstLineChars="200"/>
        <w:rPr>
          <w:rFonts w:hint="eastAsia"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5.答辩时间、答辩地点一致的答辩安排做在一张表中。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0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2018-05-30T10:07:59Z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